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A51213" w:rsidRPr="00AD5125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D25B3C" w:rsidRDefault="00D25B3C" w:rsidP="00D25B3C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 negoziata, identificata dal CIG</w:t>
      </w:r>
      <w:r w:rsidR="00FA74F2">
        <w:rPr>
          <w:rFonts w:ascii="Arial" w:hAnsi="Arial" w:cs="Arial"/>
          <w:b/>
        </w:rPr>
        <w:t xml:space="preserve"> </w:t>
      </w:r>
      <w:r w:rsidR="00FA74F2">
        <w:rPr>
          <w:rStyle w:val="Enfasigrassetto"/>
          <w:rFonts w:ascii="Arial" w:hAnsi="Arial" w:cs="Arial"/>
        </w:rPr>
        <w:t>Z92200BF54</w:t>
      </w:r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a) del D.lgs. n.50/2016 per l’affidamento dei “lavori di realizzazione di uno studio medico e di una degenza per due posti letto” presso la Sezione di Onco-Ematologia Pediatrica del P.O. di Pescara (Ala Ovest – V Piano)</w:t>
      </w:r>
    </w:p>
    <w:p w:rsidR="00A51213" w:rsidRDefault="00A51213" w:rsidP="00A51213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A51213" w:rsidRDefault="00A51213" w:rsidP="00A51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A51213" w:rsidRDefault="00A51213" w:rsidP="00A51213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FA74F2">
        <w:rPr>
          <w:rFonts w:ascii="Arial" w:hAnsi="Arial" w:cs="Arial"/>
        </w:rPr>
        <w:t>37.091,74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A51213" w:rsidRDefault="00A51213" w:rsidP="00A51213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A51213" w:rsidRDefault="00A51213" w:rsidP="00A51213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A51213" w:rsidRDefault="00A51213" w:rsidP="00A51213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A51213" w:rsidRDefault="00A51213" w:rsidP="00A51213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A51213" w:rsidRDefault="00A51213" w:rsidP="00A5121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A51213" w:rsidRDefault="00A51213" w:rsidP="00A5121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A51213" w:rsidRDefault="00A51213" w:rsidP="00A5121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A51213" w:rsidRDefault="00A51213" w:rsidP="00A5121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68406D" w:rsidRDefault="00A51213" w:rsidP="00A51213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684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18"/>
    <w:rsid w:val="0068406D"/>
    <w:rsid w:val="00A51213"/>
    <w:rsid w:val="00D25B3C"/>
    <w:rsid w:val="00F15918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21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7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21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7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6</cp:revision>
  <dcterms:created xsi:type="dcterms:W3CDTF">2017-09-20T10:21:00Z</dcterms:created>
  <dcterms:modified xsi:type="dcterms:W3CDTF">2017-09-26T13:36:00Z</dcterms:modified>
</cp:coreProperties>
</file>